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5399" w:type="pct"/>
        <w:jc w:val="center"/>
        <w:tblLayout w:type="autofit"/>
        <w:tblCellMar>
          <w:top w:w="0" w:type="dxa"/>
          <w:left w:w="108" w:type="dxa"/>
          <w:bottom w:w="0" w:type="dxa"/>
          <w:right w:w="108" w:type="dxa"/>
        </w:tblCellMar>
      </w:tblPr>
      <w:tblGrid>
        <w:gridCol w:w="738"/>
        <w:gridCol w:w="735"/>
        <w:gridCol w:w="811"/>
        <w:gridCol w:w="1133"/>
        <w:gridCol w:w="1531"/>
        <w:gridCol w:w="230"/>
        <w:gridCol w:w="1717"/>
        <w:gridCol w:w="3012"/>
        <w:gridCol w:w="165"/>
        <w:gridCol w:w="70"/>
        <w:gridCol w:w="404"/>
        <w:gridCol w:w="67"/>
        <w:gridCol w:w="404"/>
        <w:gridCol w:w="67"/>
        <w:gridCol w:w="407"/>
        <w:gridCol w:w="64"/>
        <w:gridCol w:w="924"/>
        <w:gridCol w:w="67"/>
        <w:gridCol w:w="1708"/>
        <w:gridCol w:w="1051"/>
      </w:tblGrid>
      <w:tr>
        <w:tblPrEx>
          <w:tblCellMar>
            <w:top w:w="0" w:type="dxa"/>
            <w:left w:w="108" w:type="dxa"/>
            <w:bottom w:w="0" w:type="dxa"/>
            <w:right w:w="108" w:type="dxa"/>
          </w:tblCellMar>
        </w:tblPrEx>
        <w:trPr>
          <w:trHeight w:val="408" w:hRule="atLeast"/>
          <w:jc w:val="center"/>
        </w:trPr>
        <w:tc>
          <w:tcPr>
            <w:tcW w:w="5000" w:type="pct"/>
            <w:gridSpan w:val="20"/>
            <w:tcBorders>
              <w:top w:val="nil"/>
              <w:left w:val="nil"/>
              <w:bottom w:val="nil"/>
              <w:right w:val="nil"/>
            </w:tcBorders>
            <w:shd w:val="clear" w:color="auto" w:fill="auto"/>
            <w:vAlign w:val="center"/>
          </w:tcPr>
          <w:p>
            <w:pPr>
              <w:widowControl/>
              <w:jc w:val="center"/>
              <w:rPr>
                <w:rFonts w:ascii="Courier New" w:hAnsi="Courier New" w:eastAsia="宋体" w:cs="宋体"/>
                <w:b/>
                <w:bCs/>
                <w:kern w:val="0"/>
                <w:sz w:val="32"/>
                <w:szCs w:val="32"/>
              </w:rPr>
            </w:pPr>
            <w:r>
              <w:rPr>
                <w:rFonts w:ascii="Courier New" w:hAnsi="Courier New" w:eastAsia="宋体" w:cs="宋体"/>
                <w:b/>
                <w:bCs/>
                <w:kern w:val="0"/>
                <w:sz w:val="32"/>
                <w:szCs w:val="32"/>
              </w:rPr>
              <w:t>项目支出绩效自评表</w:t>
            </w:r>
            <w:bookmarkStart w:id="0" w:name="_GoBack"/>
            <w:bookmarkEnd w:id="0"/>
          </w:p>
        </w:tc>
      </w:tr>
      <w:tr>
        <w:tblPrEx>
          <w:tblCellMar>
            <w:top w:w="0" w:type="dxa"/>
            <w:left w:w="108" w:type="dxa"/>
            <w:bottom w:w="0" w:type="dxa"/>
            <w:right w:w="108" w:type="dxa"/>
          </w:tblCellMar>
        </w:tblPrEx>
        <w:trPr>
          <w:trHeight w:val="288" w:hRule="atLeast"/>
          <w:jc w:val="center"/>
        </w:trPr>
        <w:tc>
          <w:tcPr>
            <w:tcW w:w="5000" w:type="pct"/>
            <w:gridSpan w:val="20"/>
            <w:tcBorders>
              <w:top w:val="nil"/>
              <w:left w:val="nil"/>
              <w:bottom w:val="nil"/>
              <w:right w:val="nil"/>
            </w:tcBorders>
            <w:shd w:val="clear" w:color="auto" w:fill="auto"/>
            <w:vAlign w:val="center"/>
          </w:tcPr>
          <w:p>
            <w:pPr>
              <w:widowControl/>
              <w:jc w:val="center"/>
              <w:rPr>
                <w:rFonts w:ascii="宋体" w:hAnsi="宋体" w:eastAsia="宋体" w:cs="宋体"/>
                <w:kern w:val="0"/>
                <w:sz w:val="22"/>
              </w:rPr>
            </w:pPr>
            <w:r>
              <w:rPr>
                <w:rFonts w:hint="eastAsia" w:ascii="宋体" w:hAnsi="宋体" w:eastAsia="宋体" w:cs="宋体"/>
                <w:kern w:val="0"/>
                <w:sz w:val="22"/>
              </w:rPr>
              <w:t>（2022年度）</w:t>
            </w:r>
          </w:p>
        </w:tc>
      </w:tr>
      <w:tr>
        <w:tblPrEx>
          <w:tblCellMar>
            <w:top w:w="0" w:type="dxa"/>
            <w:left w:w="108" w:type="dxa"/>
            <w:bottom w:w="0" w:type="dxa"/>
            <w:right w:w="108" w:type="dxa"/>
          </w:tblCellMar>
        </w:tblPrEx>
        <w:trPr>
          <w:gridAfter w:val="1"/>
          <w:wAfter w:w="346" w:type="pct"/>
          <w:trHeight w:val="288" w:hRule="atLeast"/>
          <w:jc w:val="center"/>
        </w:trPr>
        <w:tc>
          <w:tcPr>
            <w:tcW w:w="241" w:type="pct"/>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240" w:type="pct"/>
            <w:tcBorders>
              <w:top w:val="nil"/>
              <w:left w:val="nil"/>
              <w:bottom w:val="single" w:color="auto" w:sz="4" w:space="0"/>
              <w:right w:val="nil"/>
            </w:tcBorders>
            <w:shd w:val="clear" w:color="auto" w:fill="auto"/>
            <w:vAlign w:val="center"/>
          </w:tcPr>
          <w:p>
            <w:pPr>
              <w:widowControl/>
              <w:jc w:val="center"/>
              <w:rPr>
                <w:rFonts w:ascii="宋体" w:hAnsi="宋体" w:eastAsia="宋体" w:cs="宋体"/>
                <w:kern w:val="0"/>
                <w:sz w:val="22"/>
              </w:rPr>
            </w:pPr>
          </w:p>
        </w:tc>
        <w:tc>
          <w:tcPr>
            <w:tcW w:w="265" w:type="pct"/>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369" w:type="pct"/>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500" w:type="pct"/>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75" w:type="pct"/>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560" w:type="pct"/>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984" w:type="pct"/>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77" w:type="pct"/>
            <w:gridSpan w:val="2"/>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154" w:type="pct"/>
            <w:gridSpan w:val="2"/>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154" w:type="pct"/>
            <w:gridSpan w:val="2"/>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154" w:type="pct"/>
            <w:gridSpan w:val="2"/>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324" w:type="pct"/>
            <w:gridSpan w:val="2"/>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558" w:type="pct"/>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r>
      <w:tr>
        <w:tblPrEx>
          <w:tblCellMar>
            <w:top w:w="0" w:type="dxa"/>
            <w:left w:w="108" w:type="dxa"/>
            <w:bottom w:w="0" w:type="dxa"/>
            <w:right w:w="108" w:type="dxa"/>
          </w:tblCellMar>
        </w:tblPrEx>
        <w:trPr>
          <w:trHeight w:val="288" w:hRule="atLeast"/>
          <w:jc w:val="center"/>
        </w:trPr>
        <w:tc>
          <w:tcPr>
            <w:tcW w:w="48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项目名称</w:t>
            </w:r>
          </w:p>
        </w:tc>
        <w:tc>
          <w:tcPr>
            <w:tcW w:w="4519" w:type="pct"/>
            <w:gridSpan w:val="18"/>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数学及交叉学科国家级平台培育计划（双一流学科建设）</w:t>
            </w:r>
          </w:p>
        </w:tc>
      </w:tr>
      <w:tr>
        <w:tblPrEx>
          <w:tblCellMar>
            <w:top w:w="0" w:type="dxa"/>
            <w:left w:w="108" w:type="dxa"/>
            <w:bottom w:w="0" w:type="dxa"/>
            <w:right w:w="108" w:type="dxa"/>
          </w:tblCellMar>
        </w:tblPrEx>
        <w:trPr>
          <w:trHeight w:val="288" w:hRule="atLeast"/>
          <w:jc w:val="center"/>
        </w:trPr>
        <w:tc>
          <w:tcPr>
            <w:tcW w:w="48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主管部门</w:t>
            </w:r>
          </w:p>
        </w:tc>
        <w:tc>
          <w:tcPr>
            <w:tcW w:w="1769" w:type="pct"/>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北京市教育委员会</w:t>
            </w:r>
          </w:p>
        </w:tc>
        <w:tc>
          <w:tcPr>
            <w:tcW w:w="1038"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实施单位</w:t>
            </w:r>
          </w:p>
        </w:tc>
        <w:tc>
          <w:tcPr>
            <w:tcW w:w="1712" w:type="pct"/>
            <w:gridSpan w:val="11"/>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首都师范大学</w:t>
            </w:r>
          </w:p>
        </w:tc>
      </w:tr>
      <w:tr>
        <w:tblPrEx>
          <w:tblCellMar>
            <w:top w:w="0" w:type="dxa"/>
            <w:left w:w="108" w:type="dxa"/>
            <w:bottom w:w="0" w:type="dxa"/>
            <w:right w:w="108" w:type="dxa"/>
          </w:tblCellMar>
        </w:tblPrEx>
        <w:trPr>
          <w:trHeight w:val="288" w:hRule="atLeast"/>
          <w:jc w:val="center"/>
        </w:trPr>
        <w:tc>
          <w:tcPr>
            <w:tcW w:w="48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项目负责人</w:t>
            </w:r>
          </w:p>
        </w:tc>
        <w:tc>
          <w:tcPr>
            <w:tcW w:w="1769" w:type="pct"/>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方复全</w:t>
            </w:r>
          </w:p>
        </w:tc>
        <w:tc>
          <w:tcPr>
            <w:tcW w:w="1038"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联系电话</w:t>
            </w:r>
          </w:p>
        </w:tc>
        <w:tc>
          <w:tcPr>
            <w:tcW w:w="1712" w:type="pct"/>
            <w:gridSpan w:val="11"/>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010-68901535</w:t>
            </w:r>
          </w:p>
        </w:tc>
      </w:tr>
      <w:tr>
        <w:tblPrEx>
          <w:tblCellMar>
            <w:top w:w="0" w:type="dxa"/>
            <w:left w:w="108" w:type="dxa"/>
            <w:bottom w:w="0" w:type="dxa"/>
            <w:right w:w="108" w:type="dxa"/>
          </w:tblCellMar>
        </w:tblPrEx>
        <w:trPr>
          <w:trHeight w:val="564" w:hRule="atLeast"/>
          <w:jc w:val="center"/>
        </w:trPr>
        <w:tc>
          <w:tcPr>
            <w:tcW w:w="48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项目资金</w:t>
            </w:r>
            <w:r>
              <w:rPr>
                <w:rFonts w:hint="eastAsia" w:ascii="仿宋_GB2312" w:hAnsi="宋体" w:eastAsia="仿宋_GB2312" w:cs="宋体"/>
                <w:color w:val="000000"/>
                <w:kern w:val="0"/>
                <w:sz w:val="22"/>
              </w:rPr>
              <w:br w:type="textWrapping"/>
            </w:r>
            <w:r>
              <w:rPr>
                <w:rFonts w:hint="eastAsia" w:ascii="仿宋_GB2312" w:hAnsi="宋体" w:eastAsia="仿宋_GB2312" w:cs="宋体"/>
                <w:color w:val="000000"/>
                <w:kern w:val="0"/>
                <w:sz w:val="22"/>
              </w:rPr>
              <w:t>（万元）</w:t>
            </w:r>
          </w:p>
        </w:tc>
        <w:tc>
          <w:tcPr>
            <w:tcW w:w="63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50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年初预算数</w:t>
            </w:r>
          </w:p>
        </w:tc>
        <w:tc>
          <w:tcPr>
            <w:tcW w:w="63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全年预算数</w:t>
            </w:r>
          </w:p>
        </w:tc>
        <w:tc>
          <w:tcPr>
            <w:tcW w:w="1038"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全年执行数</w:t>
            </w:r>
          </w:p>
        </w:tc>
        <w:tc>
          <w:tcPr>
            <w:tcW w:w="309" w:type="pct"/>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分值</w:t>
            </w:r>
          </w:p>
        </w:tc>
        <w:tc>
          <w:tcPr>
            <w:tcW w:w="478" w:type="pct"/>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执行率</w:t>
            </w:r>
          </w:p>
        </w:tc>
        <w:tc>
          <w:tcPr>
            <w:tcW w:w="925"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得分</w:t>
            </w:r>
          </w:p>
        </w:tc>
      </w:tr>
      <w:tr>
        <w:tblPrEx>
          <w:tblCellMar>
            <w:top w:w="0" w:type="dxa"/>
            <w:left w:w="108" w:type="dxa"/>
            <w:bottom w:w="0" w:type="dxa"/>
            <w:right w:w="108" w:type="dxa"/>
          </w:tblCellMar>
        </w:tblPrEx>
        <w:trPr>
          <w:trHeight w:val="288" w:hRule="atLeast"/>
          <w:jc w:val="center"/>
        </w:trPr>
        <w:tc>
          <w:tcPr>
            <w:tcW w:w="481"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635" w:type="pct"/>
            <w:gridSpan w:val="2"/>
            <w:tcBorders>
              <w:top w:val="single" w:color="auto" w:sz="4" w:space="0"/>
              <w:left w:val="nil"/>
              <w:bottom w:val="single" w:color="auto" w:sz="4" w:space="0"/>
              <w:right w:val="single" w:color="auto" w:sz="4" w:space="0"/>
            </w:tcBorders>
            <w:shd w:val="clear" w:color="auto" w:fill="auto"/>
            <w:vAlign w:val="center"/>
          </w:tcPr>
          <w:p>
            <w:pPr>
              <w:widowControl/>
              <w:rPr>
                <w:rFonts w:ascii="仿宋_GB2312" w:hAnsi="宋体" w:eastAsia="仿宋_GB2312" w:cs="宋体"/>
                <w:color w:val="000000"/>
                <w:kern w:val="0"/>
                <w:sz w:val="22"/>
              </w:rPr>
            </w:pPr>
            <w:r>
              <w:rPr>
                <w:rFonts w:hint="eastAsia" w:ascii="仿宋_GB2312" w:hAnsi="宋体" w:eastAsia="仿宋_GB2312" w:cs="宋体"/>
                <w:color w:val="000000"/>
                <w:kern w:val="0"/>
                <w:sz w:val="22"/>
              </w:rPr>
              <w:t>年度资金总额</w:t>
            </w:r>
          </w:p>
        </w:tc>
        <w:tc>
          <w:tcPr>
            <w:tcW w:w="50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1560.000000 </w:t>
            </w:r>
          </w:p>
        </w:tc>
        <w:tc>
          <w:tcPr>
            <w:tcW w:w="63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1560.000000 </w:t>
            </w:r>
          </w:p>
        </w:tc>
        <w:tc>
          <w:tcPr>
            <w:tcW w:w="1038"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1560.000000 </w:t>
            </w:r>
          </w:p>
        </w:tc>
        <w:tc>
          <w:tcPr>
            <w:tcW w:w="309" w:type="pct"/>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10</w:t>
            </w:r>
          </w:p>
        </w:tc>
        <w:tc>
          <w:tcPr>
            <w:tcW w:w="478" w:type="pct"/>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100.00%</w:t>
            </w:r>
          </w:p>
        </w:tc>
        <w:tc>
          <w:tcPr>
            <w:tcW w:w="925"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10.00</w:t>
            </w:r>
          </w:p>
        </w:tc>
      </w:tr>
      <w:tr>
        <w:tblPrEx>
          <w:tblCellMar>
            <w:top w:w="0" w:type="dxa"/>
            <w:left w:w="108" w:type="dxa"/>
            <w:bottom w:w="0" w:type="dxa"/>
            <w:right w:w="108" w:type="dxa"/>
          </w:tblCellMar>
        </w:tblPrEx>
        <w:trPr>
          <w:trHeight w:val="279" w:hRule="atLeast"/>
          <w:jc w:val="center"/>
        </w:trPr>
        <w:tc>
          <w:tcPr>
            <w:tcW w:w="481"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63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其中：当年财政拨款</w:t>
            </w:r>
          </w:p>
        </w:tc>
        <w:tc>
          <w:tcPr>
            <w:tcW w:w="50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1560.000000 </w:t>
            </w:r>
          </w:p>
        </w:tc>
        <w:tc>
          <w:tcPr>
            <w:tcW w:w="63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1560.000000 </w:t>
            </w:r>
          </w:p>
        </w:tc>
        <w:tc>
          <w:tcPr>
            <w:tcW w:w="1038"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1560.000000 </w:t>
            </w:r>
          </w:p>
        </w:tc>
        <w:tc>
          <w:tcPr>
            <w:tcW w:w="309" w:type="pct"/>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w:t>
            </w:r>
          </w:p>
        </w:tc>
        <w:tc>
          <w:tcPr>
            <w:tcW w:w="478" w:type="pct"/>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100.00%</w:t>
            </w:r>
          </w:p>
        </w:tc>
        <w:tc>
          <w:tcPr>
            <w:tcW w:w="925"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w:t>
            </w:r>
          </w:p>
        </w:tc>
      </w:tr>
      <w:tr>
        <w:tblPrEx>
          <w:tblCellMar>
            <w:top w:w="0" w:type="dxa"/>
            <w:left w:w="108" w:type="dxa"/>
            <w:bottom w:w="0" w:type="dxa"/>
            <w:right w:w="108" w:type="dxa"/>
          </w:tblCellMar>
        </w:tblPrEx>
        <w:trPr>
          <w:trHeight w:val="288" w:hRule="atLeast"/>
          <w:jc w:val="center"/>
        </w:trPr>
        <w:tc>
          <w:tcPr>
            <w:tcW w:w="481"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63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      上年结转资金</w:t>
            </w:r>
          </w:p>
        </w:tc>
        <w:tc>
          <w:tcPr>
            <w:tcW w:w="50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63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1038"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309" w:type="pct"/>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w:t>
            </w:r>
          </w:p>
        </w:tc>
        <w:tc>
          <w:tcPr>
            <w:tcW w:w="478" w:type="pct"/>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925"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w:t>
            </w:r>
          </w:p>
        </w:tc>
      </w:tr>
      <w:tr>
        <w:tblPrEx>
          <w:tblCellMar>
            <w:top w:w="0" w:type="dxa"/>
            <w:left w:w="108" w:type="dxa"/>
            <w:bottom w:w="0" w:type="dxa"/>
            <w:right w:w="108" w:type="dxa"/>
          </w:tblCellMar>
        </w:tblPrEx>
        <w:trPr>
          <w:trHeight w:val="288" w:hRule="atLeast"/>
          <w:jc w:val="center"/>
        </w:trPr>
        <w:tc>
          <w:tcPr>
            <w:tcW w:w="481"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63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  其他资金</w:t>
            </w:r>
          </w:p>
        </w:tc>
        <w:tc>
          <w:tcPr>
            <w:tcW w:w="50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63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1038"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309" w:type="pct"/>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w:t>
            </w:r>
          </w:p>
        </w:tc>
        <w:tc>
          <w:tcPr>
            <w:tcW w:w="478" w:type="pct"/>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925"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w:t>
            </w:r>
          </w:p>
        </w:tc>
      </w:tr>
      <w:tr>
        <w:tblPrEx>
          <w:tblCellMar>
            <w:top w:w="0" w:type="dxa"/>
            <w:left w:w="108" w:type="dxa"/>
            <w:bottom w:w="0" w:type="dxa"/>
            <w:right w:w="108" w:type="dxa"/>
          </w:tblCellMar>
        </w:tblPrEx>
        <w:trPr>
          <w:trHeight w:val="288" w:hRule="atLeast"/>
          <w:jc w:val="center"/>
        </w:trPr>
        <w:tc>
          <w:tcPr>
            <w:tcW w:w="241" w:type="pct"/>
            <w:vMerge w:val="restart"/>
            <w:tcBorders>
              <w:top w:val="single" w:color="auto" w:sz="4" w:space="0"/>
              <w:left w:val="single" w:color="auto" w:sz="4" w:space="0"/>
              <w:bottom w:val="single" w:color="auto" w:sz="4" w:space="0"/>
              <w:right w:val="single" w:color="auto" w:sz="4" w:space="0"/>
            </w:tcBorders>
            <w:shd w:val="clear" w:color="auto" w:fill="auto"/>
            <w:textDirection w:val="tbRlV"/>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年度总体目标</w:t>
            </w:r>
          </w:p>
        </w:tc>
        <w:tc>
          <w:tcPr>
            <w:tcW w:w="2010" w:type="pct"/>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预期目标</w:t>
            </w:r>
          </w:p>
        </w:tc>
        <w:tc>
          <w:tcPr>
            <w:tcW w:w="2749" w:type="pct"/>
            <w:gridSpan w:val="1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实际完成情况</w:t>
            </w:r>
          </w:p>
        </w:tc>
      </w:tr>
      <w:tr>
        <w:tblPrEx>
          <w:tblCellMar>
            <w:top w:w="0" w:type="dxa"/>
            <w:left w:w="108" w:type="dxa"/>
            <w:bottom w:w="0" w:type="dxa"/>
            <w:right w:w="108" w:type="dxa"/>
          </w:tblCellMar>
        </w:tblPrEx>
        <w:trPr>
          <w:trHeight w:val="702" w:hRule="atLeast"/>
          <w:jc w:val="center"/>
        </w:trPr>
        <w:tc>
          <w:tcPr>
            <w:tcW w:w="241"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2010" w:type="pct"/>
            <w:gridSpan w:val="6"/>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2"/>
              </w:rPr>
            </w:pPr>
            <w:r>
              <w:rPr>
                <w:rFonts w:hint="eastAsia" w:ascii="仿宋_GB2312" w:hAnsi="宋体" w:eastAsia="仿宋_GB2312" w:cs="宋体"/>
                <w:color w:val="000000"/>
                <w:kern w:val="0"/>
                <w:sz w:val="22"/>
              </w:rPr>
              <w:t>1.引进或培养1-2名高层次领军人才和优秀青年学者，形成1-2个活跃在国际学术前沿和服务国家重大战略需求的学术创新团队。</w:t>
            </w:r>
            <w:r>
              <w:rPr>
                <w:rFonts w:hint="eastAsia" w:ascii="仿宋_GB2312" w:hAnsi="宋体" w:eastAsia="仿宋_GB2312" w:cs="宋体"/>
                <w:color w:val="000000"/>
                <w:kern w:val="0"/>
                <w:sz w:val="22"/>
              </w:rPr>
              <w:br w:type="textWrapping"/>
            </w:r>
            <w:r>
              <w:rPr>
                <w:rFonts w:hint="eastAsia" w:ascii="仿宋_GB2312" w:hAnsi="宋体" w:eastAsia="仿宋_GB2312" w:cs="宋体"/>
                <w:color w:val="000000"/>
                <w:kern w:val="0"/>
                <w:sz w:val="22"/>
              </w:rPr>
              <w:t>2.发表高水平学术论文50篇左右。</w:t>
            </w:r>
            <w:r>
              <w:rPr>
                <w:rFonts w:hint="eastAsia" w:ascii="仿宋_GB2312" w:hAnsi="宋体" w:eastAsia="仿宋_GB2312" w:cs="宋体"/>
                <w:color w:val="000000"/>
                <w:kern w:val="0"/>
                <w:sz w:val="22"/>
              </w:rPr>
              <w:br w:type="textWrapping"/>
            </w:r>
            <w:r>
              <w:rPr>
                <w:rFonts w:hint="eastAsia" w:ascii="仿宋_GB2312" w:hAnsi="宋体" w:eastAsia="仿宋_GB2312" w:cs="宋体"/>
                <w:color w:val="000000"/>
                <w:kern w:val="0"/>
                <w:sz w:val="22"/>
              </w:rPr>
              <w:t>3.建设好北京国家应用数学中心、光场成像与数字几何北京市重点实验室等科研平台，联合企业建立1-2个科学研究和人才培养基地。</w:t>
            </w:r>
            <w:r>
              <w:rPr>
                <w:rFonts w:hint="eastAsia" w:ascii="仿宋_GB2312" w:hAnsi="宋体" w:eastAsia="仿宋_GB2312" w:cs="宋体"/>
                <w:color w:val="000000"/>
                <w:kern w:val="0"/>
                <w:sz w:val="22"/>
              </w:rPr>
              <w:br w:type="textWrapping"/>
            </w:r>
            <w:r>
              <w:rPr>
                <w:rFonts w:hint="eastAsia" w:ascii="仿宋_GB2312" w:hAnsi="宋体" w:eastAsia="仿宋_GB2312" w:cs="宋体"/>
                <w:color w:val="000000"/>
                <w:kern w:val="0"/>
                <w:sz w:val="22"/>
              </w:rPr>
              <w:t>4.培养300名左右优质毕业生，为国家和区域发展，特别是北京市基础教育服务。</w:t>
            </w:r>
          </w:p>
        </w:tc>
        <w:tc>
          <w:tcPr>
            <w:tcW w:w="2749" w:type="pct"/>
            <w:gridSpan w:val="13"/>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2"/>
              </w:rPr>
            </w:pPr>
            <w:r>
              <w:rPr>
                <w:rFonts w:hint="eastAsia" w:ascii="仿宋_GB2312" w:hAnsi="宋体" w:eastAsia="仿宋_GB2312" w:cs="宋体"/>
                <w:color w:val="000000"/>
                <w:kern w:val="0"/>
                <w:sz w:val="22"/>
              </w:rPr>
              <w:t>1.引进青年教师23人,优秀博士后8人；搭建成像理论与技术研究团队、可解释人工智能研究团队、建模仿真与优化研究团队、大数据分析与数据挖掘研究团队、几何与拓扑、代数与数论、非线性方程、微分方程、数理统计、数学与信息安全等创新团队。                                                       2.发表高水平论文220余篇。                                                               3.创建应用统计专业硕士研究生实习基地、“追光空间站”实训基地、光场成像与数字几何北京市重点实验室、检测成像实验室。                                                                4.培养优质毕业生660余人。                                                                  5.申请国家自然科学基金项目60项。                                                       6.方复全院士主持</w:t>
            </w:r>
            <w:r>
              <w:rPr>
                <w:rFonts w:hint="eastAsia" w:ascii="仿宋_GB2312" w:hAnsi="宋体" w:eastAsia="仿宋_GB2312" w:cs="宋体"/>
                <w:color w:val="000000"/>
                <w:kern w:val="0"/>
                <w:sz w:val="22"/>
                <w:lang w:eastAsia="zh-CN"/>
              </w:rPr>
              <w:t>的</w:t>
            </w:r>
            <w:r>
              <w:rPr>
                <w:rFonts w:hint="eastAsia" w:ascii="仿宋_GB2312" w:hAnsi="宋体" w:eastAsia="仿宋_GB2312" w:cs="宋体"/>
                <w:color w:val="000000"/>
                <w:kern w:val="0"/>
                <w:sz w:val="22"/>
              </w:rPr>
              <w:t>国家重点研发计划项目正在顺利推进。                                  7.主办或协办学术会议1场，暑期学校2期、举办学术论坛、学术讲座60余场。</w:t>
            </w:r>
          </w:p>
        </w:tc>
      </w:tr>
      <w:tr>
        <w:tblPrEx>
          <w:tblCellMar>
            <w:top w:w="0" w:type="dxa"/>
            <w:left w:w="108" w:type="dxa"/>
            <w:bottom w:w="0" w:type="dxa"/>
            <w:right w:w="108" w:type="dxa"/>
          </w:tblCellMar>
        </w:tblPrEx>
        <w:trPr>
          <w:trHeight w:val="660" w:hRule="atLeast"/>
          <w:jc w:val="center"/>
        </w:trPr>
        <w:tc>
          <w:tcPr>
            <w:tcW w:w="241" w:type="pct"/>
            <w:vMerge w:val="restart"/>
            <w:tcBorders>
              <w:top w:val="single" w:color="auto" w:sz="4" w:space="0"/>
              <w:left w:val="single" w:color="auto" w:sz="4" w:space="0"/>
              <w:bottom w:val="single" w:color="auto" w:sz="4" w:space="0"/>
              <w:right w:val="single" w:color="auto" w:sz="4" w:space="0"/>
            </w:tcBorders>
            <w:shd w:val="clear" w:color="auto" w:fill="auto"/>
            <w:textDirection w:val="tbRlV"/>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绩效指标</w:t>
            </w:r>
          </w:p>
        </w:tc>
        <w:tc>
          <w:tcPr>
            <w:tcW w:w="24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一级指标</w:t>
            </w:r>
          </w:p>
        </w:tc>
        <w:tc>
          <w:tcPr>
            <w:tcW w:w="26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二级指标</w:t>
            </w:r>
          </w:p>
        </w:tc>
        <w:tc>
          <w:tcPr>
            <w:tcW w:w="944"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三级指标</w:t>
            </w:r>
          </w:p>
        </w:tc>
        <w:tc>
          <w:tcPr>
            <w:tcW w:w="56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年度指标值</w:t>
            </w:r>
          </w:p>
        </w:tc>
        <w:tc>
          <w:tcPr>
            <w:tcW w:w="98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实际完成值</w:t>
            </w:r>
          </w:p>
        </w:tc>
        <w:tc>
          <w:tcPr>
            <w:tcW w:w="209"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分值</w:t>
            </w:r>
          </w:p>
        </w:tc>
        <w:tc>
          <w:tcPr>
            <w:tcW w:w="309" w:type="pct"/>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得分</w:t>
            </w:r>
          </w:p>
        </w:tc>
        <w:tc>
          <w:tcPr>
            <w:tcW w:w="1248" w:type="pct"/>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偏差原因分析及改进措施</w:t>
            </w:r>
          </w:p>
        </w:tc>
      </w:tr>
      <w:tr>
        <w:tblPrEx>
          <w:tblCellMar>
            <w:top w:w="0" w:type="dxa"/>
            <w:left w:w="108" w:type="dxa"/>
            <w:bottom w:w="0" w:type="dxa"/>
            <w:right w:w="108" w:type="dxa"/>
          </w:tblCellMar>
        </w:tblPrEx>
        <w:trPr>
          <w:trHeight w:val="900" w:hRule="atLeast"/>
          <w:jc w:val="center"/>
        </w:trPr>
        <w:tc>
          <w:tcPr>
            <w:tcW w:w="241"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24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产出指标</w:t>
            </w:r>
          </w:p>
        </w:tc>
        <w:tc>
          <w:tcPr>
            <w:tcW w:w="26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数量指标</w:t>
            </w:r>
          </w:p>
        </w:tc>
        <w:tc>
          <w:tcPr>
            <w:tcW w:w="944"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举办高水平学术会议及论坛</w:t>
            </w:r>
          </w:p>
        </w:tc>
        <w:tc>
          <w:tcPr>
            <w:tcW w:w="56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≥5次</w:t>
            </w:r>
          </w:p>
        </w:tc>
        <w:tc>
          <w:tcPr>
            <w:tcW w:w="98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主办或协办高学术会议1场，暑期学校2期、举办学术论坛、学术讲座60余场</w:t>
            </w:r>
          </w:p>
        </w:tc>
        <w:tc>
          <w:tcPr>
            <w:tcW w:w="20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2.5</w:t>
            </w:r>
          </w:p>
        </w:tc>
        <w:tc>
          <w:tcPr>
            <w:tcW w:w="309"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w:t>
            </w:r>
          </w:p>
        </w:tc>
        <w:tc>
          <w:tcPr>
            <w:tcW w:w="1248"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实际完成值与年初设立目标存在偏差。改进措施：加强项目的前期论证调研，提高绩效目标申报的精确度。</w:t>
            </w:r>
          </w:p>
        </w:tc>
      </w:tr>
      <w:tr>
        <w:tblPrEx>
          <w:tblCellMar>
            <w:top w:w="0" w:type="dxa"/>
            <w:left w:w="108" w:type="dxa"/>
            <w:bottom w:w="0" w:type="dxa"/>
            <w:right w:w="108" w:type="dxa"/>
          </w:tblCellMar>
        </w:tblPrEx>
        <w:trPr>
          <w:trHeight w:val="900" w:hRule="atLeast"/>
          <w:jc w:val="center"/>
        </w:trPr>
        <w:tc>
          <w:tcPr>
            <w:tcW w:w="241"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24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26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944"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高水平论文</w:t>
            </w:r>
          </w:p>
        </w:tc>
        <w:tc>
          <w:tcPr>
            <w:tcW w:w="56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≥50篇</w:t>
            </w:r>
          </w:p>
        </w:tc>
        <w:tc>
          <w:tcPr>
            <w:tcW w:w="98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发表高水平论文250余篇</w:t>
            </w:r>
          </w:p>
        </w:tc>
        <w:tc>
          <w:tcPr>
            <w:tcW w:w="20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2.5</w:t>
            </w:r>
          </w:p>
        </w:tc>
        <w:tc>
          <w:tcPr>
            <w:tcW w:w="309"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w:t>
            </w:r>
          </w:p>
        </w:tc>
        <w:tc>
          <w:tcPr>
            <w:tcW w:w="1248"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实际完成值与年初设立目标存在偏差。改进措施：加强项目的前期论证调研，提高绩效目标申报的精确度。</w:t>
            </w:r>
          </w:p>
        </w:tc>
      </w:tr>
      <w:tr>
        <w:tblPrEx>
          <w:tblCellMar>
            <w:top w:w="0" w:type="dxa"/>
            <w:left w:w="108" w:type="dxa"/>
            <w:bottom w:w="0" w:type="dxa"/>
            <w:right w:w="108" w:type="dxa"/>
          </w:tblCellMar>
        </w:tblPrEx>
        <w:trPr>
          <w:trHeight w:val="900" w:hRule="atLeast"/>
          <w:jc w:val="center"/>
        </w:trPr>
        <w:tc>
          <w:tcPr>
            <w:tcW w:w="241"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24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26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944"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培养优质毕业生</w:t>
            </w:r>
          </w:p>
        </w:tc>
        <w:tc>
          <w:tcPr>
            <w:tcW w:w="56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≥300人</w:t>
            </w:r>
          </w:p>
        </w:tc>
        <w:tc>
          <w:tcPr>
            <w:tcW w:w="98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培养优质毕业生660余人</w:t>
            </w:r>
          </w:p>
        </w:tc>
        <w:tc>
          <w:tcPr>
            <w:tcW w:w="20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2.5</w:t>
            </w:r>
          </w:p>
        </w:tc>
        <w:tc>
          <w:tcPr>
            <w:tcW w:w="309"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w:t>
            </w:r>
          </w:p>
        </w:tc>
        <w:tc>
          <w:tcPr>
            <w:tcW w:w="1248"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实际完成值与年初设立目标存在偏差。改进措施：加强项目的前期论证调研，提高绩效目标申报的精确度。</w:t>
            </w:r>
          </w:p>
        </w:tc>
      </w:tr>
      <w:tr>
        <w:tblPrEx>
          <w:tblCellMar>
            <w:top w:w="0" w:type="dxa"/>
            <w:left w:w="108" w:type="dxa"/>
            <w:bottom w:w="0" w:type="dxa"/>
            <w:right w:w="108" w:type="dxa"/>
          </w:tblCellMar>
        </w:tblPrEx>
        <w:trPr>
          <w:trHeight w:val="900" w:hRule="atLeast"/>
          <w:jc w:val="center"/>
        </w:trPr>
        <w:tc>
          <w:tcPr>
            <w:tcW w:w="241"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24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26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944"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引进青年教师／特聘副研究员</w:t>
            </w:r>
          </w:p>
        </w:tc>
        <w:tc>
          <w:tcPr>
            <w:tcW w:w="56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≥5人</w:t>
            </w:r>
          </w:p>
        </w:tc>
        <w:tc>
          <w:tcPr>
            <w:tcW w:w="98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引进青年教师23人</w:t>
            </w:r>
          </w:p>
        </w:tc>
        <w:tc>
          <w:tcPr>
            <w:tcW w:w="20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2.5</w:t>
            </w:r>
          </w:p>
        </w:tc>
        <w:tc>
          <w:tcPr>
            <w:tcW w:w="309"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w:t>
            </w:r>
          </w:p>
        </w:tc>
        <w:tc>
          <w:tcPr>
            <w:tcW w:w="1248"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实际完成值与年初设立目标存在偏差。改进措施：加强项目的前期论证调研，提高绩效目标申报的精确度。</w:t>
            </w:r>
          </w:p>
        </w:tc>
      </w:tr>
      <w:tr>
        <w:tblPrEx>
          <w:tblCellMar>
            <w:top w:w="0" w:type="dxa"/>
            <w:left w:w="108" w:type="dxa"/>
            <w:bottom w:w="0" w:type="dxa"/>
            <w:right w:w="108" w:type="dxa"/>
          </w:tblCellMar>
        </w:tblPrEx>
        <w:trPr>
          <w:trHeight w:val="699" w:hRule="atLeast"/>
          <w:jc w:val="center"/>
        </w:trPr>
        <w:tc>
          <w:tcPr>
            <w:tcW w:w="241"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24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26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944"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引进优秀博士后</w:t>
            </w:r>
          </w:p>
        </w:tc>
        <w:tc>
          <w:tcPr>
            <w:tcW w:w="56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≥4人</w:t>
            </w:r>
          </w:p>
        </w:tc>
        <w:tc>
          <w:tcPr>
            <w:tcW w:w="98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引进优秀博士后8人</w:t>
            </w:r>
          </w:p>
        </w:tc>
        <w:tc>
          <w:tcPr>
            <w:tcW w:w="20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2.5</w:t>
            </w:r>
          </w:p>
        </w:tc>
        <w:tc>
          <w:tcPr>
            <w:tcW w:w="309"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2.5</w:t>
            </w:r>
          </w:p>
        </w:tc>
        <w:tc>
          <w:tcPr>
            <w:tcW w:w="1248"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无</w:t>
            </w:r>
          </w:p>
        </w:tc>
      </w:tr>
      <w:tr>
        <w:tblPrEx>
          <w:tblCellMar>
            <w:top w:w="0" w:type="dxa"/>
            <w:left w:w="108" w:type="dxa"/>
            <w:bottom w:w="0" w:type="dxa"/>
            <w:right w:w="108" w:type="dxa"/>
          </w:tblCellMar>
        </w:tblPrEx>
        <w:trPr>
          <w:trHeight w:val="864" w:hRule="atLeast"/>
          <w:jc w:val="center"/>
        </w:trPr>
        <w:tc>
          <w:tcPr>
            <w:tcW w:w="241"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24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26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944"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主持国家、省部级科研项目</w:t>
            </w:r>
          </w:p>
        </w:tc>
        <w:tc>
          <w:tcPr>
            <w:tcW w:w="56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≥10项</w:t>
            </w:r>
          </w:p>
        </w:tc>
        <w:tc>
          <w:tcPr>
            <w:tcW w:w="98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申请国家自然科学基金项目60项；方复全院士主持</w:t>
            </w:r>
            <w:r>
              <w:rPr>
                <w:rFonts w:hint="eastAsia" w:ascii="仿宋_GB2312" w:hAnsi="宋体" w:eastAsia="仿宋_GB2312" w:cs="宋体"/>
                <w:color w:val="000000"/>
                <w:kern w:val="0"/>
                <w:sz w:val="22"/>
                <w:lang w:eastAsia="zh-CN"/>
              </w:rPr>
              <w:t>的</w:t>
            </w:r>
            <w:r>
              <w:rPr>
                <w:rFonts w:hint="eastAsia" w:ascii="仿宋_GB2312" w:hAnsi="宋体" w:eastAsia="仿宋_GB2312" w:cs="宋体"/>
                <w:color w:val="000000"/>
                <w:kern w:val="0"/>
                <w:sz w:val="22"/>
              </w:rPr>
              <w:t>国家重点研发计划项目正在顺利推进。</w:t>
            </w:r>
          </w:p>
        </w:tc>
        <w:tc>
          <w:tcPr>
            <w:tcW w:w="20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2.5</w:t>
            </w:r>
          </w:p>
        </w:tc>
        <w:tc>
          <w:tcPr>
            <w:tcW w:w="309"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w:t>
            </w:r>
          </w:p>
        </w:tc>
        <w:tc>
          <w:tcPr>
            <w:tcW w:w="1248"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实际完成值与年初设立目标存在偏差。改进措施：加强项目的前期论证调研，提高绩效目标申报的精确度。</w:t>
            </w:r>
          </w:p>
        </w:tc>
      </w:tr>
      <w:tr>
        <w:tblPrEx>
          <w:tblCellMar>
            <w:top w:w="0" w:type="dxa"/>
            <w:left w:w="108" w:type="dxa"/>
            <w:bottom w:w="0" w:type="dxa"/>
            <w:right w:w="108" w:type="dxa"/>
          </w:tblCellMar>
        </w:tblPrEx>
        <w:trPr>
          <w:trHeight w:val="939" w:hRule="atLeast"/>
          <w:jc w:val="center"/>
        </w:trPr>
        <w:tc>
          <w:tcPr>
            <w:tcW w:w="241"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24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26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质量指标</w:t>
            </w:r>
          </w:p>
        </w:tc>
        <w:tc>
          <w:tcPr>
            <w:tcW w:w="944"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主持国家级重大、重点项目</w:t>
            </w:r>
          </w:p>
        </w:tc>
        <w:tc>
          <w:tcPr>
            <w:tcW w:w="56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≥6项</w:t>
            </w:r>
          </w:p>
        </w:tc>
        <w:tc>
          <w:tcPr>
            <w:tcW w:w="98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主持国家级重大、重点项目 10项</w:t>
            </w:r>
          </w:p>
        </w:tc>
        <w:tc>
          <w:tcPr>
            <w:tcW w:w="20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5</w:t>
            </w:r>
          </w:p>
        </w:tc>
        <w:tc>
          <w:tcPr>
            <w:tcW w:w="309"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5</w:t>
            </w:r>
          </w:p>
        </w:tc>
        <w:tc>
          <w:tcPr>
            <w:tcW w:w="1248"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无</w:t>
            </w:r>
          </w:p>
        </w:tc>
      </w:tr>
      <w:tr>
        <w:tblPrEx>
          <w:tblCellMar>
            <w:top w:w="0" w:type="dxa"/>
            <w:left w:w="108" w:type="dxa"/>
            <w:bottom w:w="0" w:type="dxa"/>
            <w:right w:w="108" w:type="dxa"/>
          </w:tblCellMar>
        </w:tblPrEx>
        <w:trPr>
          <w:trHeight w:val="939" w:hRule="atLeast"/>
          <w:jc w:val="center"/>
        </w:trPr>
        <w:tc>
          <w:tcPr>
            <w:tcW w:w="241"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24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26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944"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引进高水平中青年科学家</w:t>
            </w:r>
          </w:p>
        </w:tc>
        <w:tc>
          <w:tcPr>
            <w:tcW w:w="56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≥3人</w:t>
            </w:r>
          </w:p>
        </w:tc>
        <w:tc>
          <w:tcPr>
            <w:tcW w:w="98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引进高水平中青年科学家14人</w:t>
            </w:r>
          </w:p>
        </w:tc>
        <w:tc>
          <w:tcPr>
            <w:tcW w:w="20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5</w:t>
            </w:r>
          </w:p>
        </w:tc>
        <w:tc>
          <w:tcPr>
            <w:tcW w:w="309"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4.5</w:t>
            </w:r>
          </w:p>
        </w:tc>
        <w:tc>
          <w:tcPr>
            <w:tcW w:w="1248"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实际完成值与年初设立目标存在偏差。改进措施：加强项目的前期论证调研，提高绩效目标申报的精确度。</w:t>
            </w:r>
          </w:p>
        </w:tc>
      </w:tr>
      <w:tr>
        <w:tblPrEx>
          <w:tblCellMar>
            <w:top w:w="0" w:type="dxa"/>
            <w:left w:w="108" w:type="dxa"/>
            <w:bottom w:w="0" w:type="dxa"/>
            <w:right w:w="108" w:type="dxa"/>
          </w:tblCellMar>
        </w:tblPrEx>
        <w:trPr>
          <w:trHeight w:val="939" w:hRule="atLeast"/>
          <w:jc w:val="center"/>
        </w:trPr>
        <w:tc>
          <w:tcPr>
            <w:tcW w:w="241"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24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26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944"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国际权威杂志上发表论文</w:t>
            </w:r>
          </w:p>
        </w:tc>
        <w:tc>
          <w:tcPr>
            <w:tcW w:w="56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≥5篇</w:t>
            </w:r>
          </w:p>
        </w:tc>
        <w:tc>
          <w:tcPr>
            <w:tcW w:w="98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国际权威杂志上发表论文20余篇</w:t>
            </w:r>
          </w:p>
        </w:tc>
        <w:tc>
          <w:tcPr>
            <w:tcW w:w="20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5</w:t>
            </w:r>
          </w:p>
        </w:tc>
        <w:tc>
          <w:tcPr>
            <w:tcW w:w="309"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4.5</w:t>
            </w:r>
          </w:p>
        </w:tc>
        <w:tc>
          <w:tcPr>
            <w:tcW w:w="1248"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实际完成值与年初设立目标存在偏差。改进措施：加强项目的前期论证调研，提高绩效目标申报的精确度。</w:t>
            </w:r>
          </w:p>
        </w:tc>
      </w:tr>
      <w:tr>
        <w:tblPrEx>
          <w:tblCellMar>
            <w:top w:w="0" w:type="dxa"/>
            <w:left w:w="108" w:type="dxa"/>
            <w:bottom w:w="0" w:type="dxa"/>
            <w:right w:w="108" w:type="dxa"/>
          </w:tblCellMar>
        </w:tblPrEx>
        <w:trPr>
          <w:trHeight w:val="999" w:hRule="atLeast"/>
          <w:jc w:val="center"/>
        </w:trPr>
        <w:tc>
          <w:tcPr>
            <w:tcW w:w="241"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24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26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时效指标</w:t>
            </w:r>
          </w:p>
        </w:tc>
        <w:tc>
          <w:tcPr>
            <w:tcW w:w="944"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按时间进度执行</w:t>
            </w:r>
          </w:p>
        </w:tc>
        <w:tc>
          <w:tcPr>
            <w:tcW w:w="56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优良中低差</w:t>
            </w:r>
          </w:p>
        </w:tc>
        <w:tc>
          <w:tcPr>
            <w:tcW w:w="98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优，按时间计划如期完成。</w:t>
            </w:r>
          </w:p>
        </w:tc>
        <w:tc>
          <w:tcPr>
            <w:tcW w:w="20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10</w:t>
            </w:r>
          </w:p>
        </w:tc>
        <w:tc>
          <w:tcPr>
            <w:tcW w:w="309"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10</w:t>
            </w:r>
          </w:p>
        </w:tc>
        <w:tc>
          <w:tcPr>
            <w:tcW w:w="1248"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无</w:t>
            </w:r>
          </w:p>
        </w:tc>
      </w:tr>
      <w:tr>
        <w:tblPrEx>
          <w:tblCellMar>
            <w:top w:w="0" w:type="dxa"/>
            <w:left w:w="108" w:type="dxa"/>
            <w:bottom w:w="0" w:type="dxa"/>
            <w:right w:w="108" w:type="dxa"/>
          </w:tblCellMar>
        </w:tblPrEx>
        <w:trPr>
          <w:trHeight w:val="780" w:hRule="atLeast"/>
          <w:jc w:val="center"/>
        </w:trPr>
        <w:tc>
          <w:tcPr>
            <w:tcW w:w="241"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24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26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成本指标</w:t>
            </w:r>
          </w:p>
        </w:tc>
        <w:tc>
          <w:tcPr>
            <w:tcW w:w="944"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经费预算金额</w:t>
            </w:r>
          </w:p>
        </w:tc>
        <w:tc>
          <w:tcPr>
            <w:tcW w:w="56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1560万元</w:t>
            </w:r>
          </w:p>
        </w:tc>
        <w:tc>
          <w:tcPr>
            <w:tcW w:w="98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1560万元</w:t>
            </w:r>
          </w:p>
        </w:tc>
        <w:tc>
          <w:tcPr>
            <w:tcW w:w="20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10</w:t>
            </w:r>
          </w:p>
        </w:tc>
        <w:tc>
          <w:tcPr>
            <w:tcW w:w="309"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10</w:t>
            </w:r>
          </w:p>
        </w:tc>
        <w:tc>
          <w:tcPr>
            <w:tcW w:w="1248"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无</w:t>
            </w:r>
          </w:p>
        </w:tc>
      </w:tr>
      <w:tr>
        <w:tblPrEx>
          <w:tblCellMar>
            <w:top w:w="0" w:type="dxa"/>
            <w:left w:w="108" w:type="dxa"/>
            <w:bottom w:w="0" w:type="dxa"/>
            <w:right w:w="108" w:type="dxa"/>
          </w:tblCellMar>
        </w:tblPrEx>
        <w:trPr>
          <w:trHeight w:val="1691" w:hRule="atLeast"/>
          <w:jc w:val="center"/>
        </w:trPr>
        <w:tc>
          <w:tcPr>
            <w:tcW w:w="241"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24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效益指标</w:t>
            </w:r>
          </w:p>
        </w:tc>
        <w:tc>
          <w:tcPr>
            <w:tcW w:w="26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经济效益指标</w:t>
            </w:r>
          </w:p>
        </w:tc>
        <w:tc>
          <w:tcPr>
            <w:tcW w:w="944"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56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98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240"/>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2022年，“北京国家应用数学中心”、“北京市检测成像工程中心”、“光场成像与数字几何北京市重点实验室”等科研平台，在数学与成像技术、应用数学等方面，面向国家和首都重大发展需求，着力攻克有重要行业影响的关键技术。依托光场成像与数字几何北京市重点实验室提出了具有全局一致性的三维点云融合方案，并应用在工艺品数字化领域，基于双曲几何提出了器官形状分析方案，并应用于分析听骨链、半规管等几何拓扑复杂的器官。</w:t>
            </w:r>
          </w:p>
        </w:tc>
        <w:tc>
          <w:tcPr>
            <w:tcW w:w="20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7.5</w:t>
            </w:r>
          </w:p>
        </w:tc>
        <w:tc>
          <w:tcPr>
            <w:tcW w:w="309"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5.5</w:t>
            </w:r>
          </w:p>
        </w:tc>
        <w:tc>
          <w:tcPr>
            <w:tcW w:w="1248"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项目填报绩效目标申报表时忘记设置经济效益指标。经济效益指标的设定为通过数学学科群建设，深入开展应用示范研究，开发出国家急需、有重要行业影响的关键技术和产品，加快推进产业化。改进措施：今后将注意绩效目标申报时各项指标填报的完整性。</w:t>
            </w:r>
          </w:p>
        </w:tc>
      </w:tr>
      <w:tr>
        <w:tblPrEx>
          <w:tblCellMar>
            <w:top w:w="0" w:type="dxa"/>
            <w:left w:w="108" w:type="dxa"/>
            <w:bottom w:w="0" w:type="dxa"/>
            <w:right w:w="108" w:type="dxa"/>
          </w:tblCellMar>
        </w:tblPrEx>
        <w:trPr>
          <w:trHeight w:val="2904" w:hRule="atLeast"/>
          <w:jc w:val="center"/>
        </w:trPr>
        <w:tc>
          <w:tcPr>
            <w:tcW w:w="241"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24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26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社会效益指标</w:t>
            </w:r>
          </w:p>
        </w:tc>
        <w:tc>
          <w:tcPr>
            <w:tcW w:w="944"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56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98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2022 年 2 月 27 日 11 时 06 分，在海南文昌卫星发射中心，长征八号运载火箭实现“一箭 22 星”发射，将承载着首都师范大学“蛙瞳”直播地球概念验证任务的“泰景四号 01 星”送入预定轨道，相机成像正常，发射任务圆满成功。该卫星是全球首颗直接用于动目标检测的遥感卫星，提供全色双条带推扫数据，以及 X 波段合成孔径雷达（SAR，Synthetic Aperture Radar）数据。</w:t>
            </w:r>
          </w:p>
        </w:tc>
        <w:tc>
          <w:tcPr>
            <w:tcW w:w="20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7.5</w:t>
            </w:r>
          </w:p>
        </w:tc>
        <w:tc>
          <w:tcPr>
            <w:tcW w:w="309"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5.5</w:t>
            </w:r>
          </w:p>
        </w:tc>
        <w:tc>
          <w:tcPr>
            <w:tcW w:w="1248"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项目填报绩效目标申报表时忘记设置社会效益指标。社会效益指标的设定为通过数学学科群建设，推动首都师范大学学科建设水平的全面提升，在人才培养、科学研究、社会服务、文化传承创新、国际交流合作等方面取得一流成果，为北京“四个中心”建设、京津冀协同发展做出贡献。改进措施：今后将注意绩效目标申报时各项指标填报的完整性。</w:t>
            </w:r>
          </w:p>
        </w:tc>
      </w:tr>
      <w:tr>
        <w:tblPrEx>
          <w:tblCellMar>
            <w:top w:w="0" w:type="dxa"/>
            <w:left w:w="108" w:type="dxa"/>
            <w:bottom w:w="0" w:type="dxa"/>
            <w:right w:w="108" w:type="dxa"/>
          </w:tblCellMar>
        </w:tblPrEx>
        <w:trPr>
          <w:trHeight w:val="1411" w:hRule="atLeast"/>
          <w:jc w:val="center"/>
        </w:trPr>
        <w:tc>
          <w:tcPr>
            <w:tcW w:w="241"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24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26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生态效益指标</w:t>
            </w:r>
          </w:p>
        </w:tc>
        <w:tc>
          <w:tcPr>
            <w:tcW w:w="944"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56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98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数学科学学院与交叉科学研究院不断改善科研条件，打造“公平开放、竞争有序”的科研环境，创造浓厚的学术氛围，为博士、博士后提供专用工作间；交叉科学研究院还开放计算机实验室，为校内科研团队搭建“云”计算中心。通过“北京国家应用数学中心”、“北京成像技术高精尖创新中心”、“光场成像与数字几何北京市重点实验室”等科研平台的建设，以实际问题为驱动，不断形成新的创新增长点。</w:t>
            </w:r>
          </w:p>
        </w:tc>
        <w:tc>
          <w:tcPr>
            <w:tcW w:w="20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7.5</w:t>
            </w:r>
          </w:p>
        </w:tc>
        <w:tc>
          <w:tcPr>
            <w:tcW w:w="309"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5.5</w:t>
            </w:r>
          </w:p>
        </w:tc>
        <w:tc>
          <w:tcPr>
            <w:tcW w:w="1248"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项目填报绩效目标申报表时忘记设置生态效益指标。生态效益指标的设定为不断改善首都师范大学学科建设的软、硬条件，为师生提供优良、宽松的科研环境和学习环境。改进措施：今后将注意绩效目标申报时各项指标填报的完整性。</w:t>
            </w:r>
          </w:p>
        </w:tc>
      </w:tr>
      <w:tr>
        <w:tblPrEx>
          <w:tblCellMar>
            <w:top w:w="0" w:type="dxa"/>
            <w:left w:w="108" w:type="dxa"/>
            <w:bottom w:w="0" w:type="dxa"/>
            <w:right w:w="108" w:type="dxa"/>
          </w:tblCellMar>
        </w:tblPrEx>
        <w:trPr>
          <w:trHeight w:val="2748" w:hRule="atLeast"/>
          <w:jc w:val="center"/>
        </w:trPr>
        <w:tc>
          <w:tcPr>
            <w:tcW w:w="241"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24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26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可持续影响指标</w:t>
            </w:r>
          </w:p>
        </w:tc>
        <w:tc>
          <w:tcPr>
            <w:tcW w:w="944"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56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98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数学学科群通过稳步实施人才引育计划，持续加强创新团队建设，继续提高教师教学水平；组建国际化团队开展联合攻关，发挥北京国家应用数学中心、高精尖中心等平台的优势，积极参与北京“三城一区”建设；加强课程与教材体系建设，探索联合培养、贯通式培养等人才培养新模式等一系列举措，带动首都师范大学学科建设水平的全面提升，在人才培养、科学研究、社会服务、文化传承创新、国际交流合作等方面取得一流成果，为北京“四个中心”建设、京津冀协同发展做出贡献。</w:t>
            </w:r>
          </w:p>
        </w:tc>
        <w:tc>
          <w:tcPr>
            <w:tcW w:w="20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7.5</w:t>
            </w:r>
          </w:p>
        </w:tc>
        <w:tc>
          <w:tcPr>
            <w:tcW w:w="309"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5.5</w:t>
            </w:r>
          </w:p>
        </w:tc>
        <w:tc>
          <w:tcPr>
            <w:tcW w:w="1248"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项目填报绩效目标申报表时忘记设置可持续影响指标。可持续影响指标的设定为师资队伍建设、学科建设、人才培养、科学研究等不断取得突破，国内外声誉不断提升，为数学学科的持续发展奠定坚实基础。改进措施：今后将注意绩效目标申报时各项指标填报的完整性。</w:t>
            </w:r>
          </w:p>
        </w:tc>
      </w:tr>
      <w:tr>
        <w:tblPrEx>
          <w:tblCellMar>
            <w:top w:w="0" w:type="dxa"/>
            <w:left w:w="108" w:type="dxa"/>
            <w:bottom w:w="0" w:type="dxa"/>
            <w:right w:w="108" w:type="dxa"/>
          </w:tblCellMar>
        </w:tblPrEx>
        <w:trPr>
          <w:trHeight w:val="1332" w:hRule="atLeast"/>
          <w:jc w:val="center"/>
        </w:trPr>
        <w:tc>
          <w:tcPr>
            <w:tcW w:w="241"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24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满意度指标</w:t>
            </w:r>
          </w:p>
        </w:tc>
        <w:tc>
          <w:tcPr>
            <w:tcW w:w="26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服务对象满意度指标</w:t>
            </w:r>
          </w:p>
        </w:tc>
        <w:tc>
          <w:tcPr>
            <w:tcW w:w="944"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服务对象满意度</w:t>
            </w:r>
          </w:p>
        </w:tc>
        <w:tc>
          <w:tcPr>
            <w:tcW w:w="56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高中低</w:t>
            </w:r>
          </w:p>
        </w:tc>
        <w:tc>
          <w:tcPr>
            <w:tcW w:w="98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服务对象认为项目目标明确，时间进度安排合理，对相关监控服务各项流程熟悉且认可，总体较满意。</w:t>
            </w:r>
          </w:p>
        </w:tc>
        <w:tc>
          <w:tcPr>
            <w:tcW w:w="20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10</w:t>
            </w:r>
          </w:p>
        </w:tc>
        <w:tc>
          <w:tcPr>
            <w:tcW w:w="309"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8</w:t>
            </w:r>
          </w:p>
        </w:tc>
        <w:tc>
          <w:tcPr>
            <w:tcW w:w="1248"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未进行详细的满意度问卷调查，经项目服务对象反馈总体较满意。</w:t>
            </w:r>
          </w:p>
        </w:tc>
      </w:tr>
      <w:tr>
        <w:tblPrEx>
          <w:tblCellMar>
            <w:top w:w="0" w:type="dxa"/>
            <w:left w:w="108" w:type="dxa"/>
            <w:bottom w:w="0" w:type="dxa"/>
            <w:right w:w="108" w:type="dxa"/>
          </w:tblCellMar>
        </w:tblPrEx>
        <w:trPr>
          <w:trHeight w:val="414" w:hRule="atLeast"/>
          <w:jc w:val="center"/>
        </w:trPr>
        <w:tc>
          <w:tcPr>
            <w:tcW w:w="3234" w:type="pct"/>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总分</w:t>
            </w:r>
          </w:p>
        </w:tc>
        <w:tc>
          <w:tcPr>
            <w:tcW w:w="209"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100</w:t>
            </w:r>
          </w:p>
        </w:tc>
        <w:tc>
          <w:tcPr>
            <w:tcW w:w="309" w:type="pct"/>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 xml:space="preserve">86.50 </w:t>
            </w:r>
          </w:p>
        </w:tc>
        <w:tc>
          <w:tcPr>
            <w:tcW w:w="1248" w:type="pct"/>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bl>
    <w:p>
      <w:pPr>
        <w:spacing w:line="0" w:lineRule="atLeast"/>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E3OWQyYzlhZTQ3M2E2YmI3ODIyYmE2NzBkYjQ3MTkifQ=="/>
  </w:docVars>
  <w:rsids>
    <w:rsidRoot w:val="00BF638B"/>
    <w:rsid w:val="00064F84"/>
    <w:rsid w:val="004C5F21"/>
    <w:rsid w:val="00626EA8"/>
    <w:rsid w:val="00A2231F"/>
    <w:rsid w:val="00BF638B"/>
    <w:rsid w:val="00D81301"/>
    <w:rsid w:val="00DF457E"/>
    <w:rsid w:val="00E725C1"/>
    <w:rsid w:val="4CBA7D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Company>
  <Pages>5</Pages>
  <Words>533</Words>
  <Characters>3039</Characters>
  <Lines>25</Lines>
  <Paragraphs>7</Paragraphs>
  <TotalTime>14</TotalTime>
  <ScaleCrop>false</ScaleCrop>
  <LinksUpToDate>false</LinksUpToDate>
  <CharactersWithSpaces>3565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2023-05-10T16:11:00Z</dcterms:created>
  <dc:creator>HP</dc:creator>
  <cp:lastModifiedBy>苏坡云☁️</cp:lastModifiedBy>
  <dcterms:modified xsi:type="dcterms:W3CDTF">2023-12-01T06:46:48Z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55FD9369852A40A5BD665EB999D677EB_12</vt:lpwstr>
  </property>
</Properties>
</file>